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F" w:rsidRDefault="007A466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96B8F">
        <w:trPr>
          <w:tblCellSpacing w:w="22" w:type="dxa"/>
        </w:trPr>
        <w:tc>
          <w:tcPr>
            <w:tcW w:w="5000" w:type="pct"/>
            <w:hideMark/>
          </w:tcPr>
          <w:p w:rsidR="00096B8F" w:rsidRDefault="007A466B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23 листопада 2011 р. N 1278</w:t>
            </w:r>
          </w:p>
        </w:tc>
      </w:tr>
    </w:tbl>
    <w:p w:rsidR="00096B8F" w:rsidRDefault="007A466B">
      <w:pPr>
        <w:pStyle w:val="a3"/>
        <w:jc w:val="both"/>
      </w:pPr>
      <w:r>
        <w:br w:type="textWrapping" w:clear="all"/>
      </w:r>
      <w:bookmarkStart w:id="0" w:name="_GoBack"/>
    </w:p>
    <w:p w:rsidR="00096B8F" w:rsidRDefault="007A466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МЕТОДИКА</w:t>
      </w:r>
      <w:r>
        <w:rPr>
          <w:rFonts w:eastAsia="Times New Roman"/>
        </w:rPr>
        <w:br/>
        <w:t>нормативної грошової оцінки земель несільськогосподарського призначення (крім земель населених пунктів)</w:t>
      </w:r>
    </w:p>
    <w:bookmarkEnd w:id="0"/>
    <w:p w:rsidR="00096B8F" w:rsidRDefault="007A466B">
      <w:pPr>
        <w:pStyle w:val="a3"/>
        <w:jc w:val="both"/>
      </w:pPr>
      <w:r>
        <w:t>1. Нормативна грошова оцінка земель несільськогосподарського призначення (крім земель населених пунктів) (далі - нормативна грошова оцінка земель) проводиться з метою визначення розміру земельного податку, державного мита в разі міни, успадкування та дарування земельних ділянок згідно із законом, орендної плати за земельні ділянки державної та комунальної власності, втрат сільськогосподарського і лісогосподарського виробництва, а також під час розроблення показників та механізму економічного стимулювання раціонального використання та охорони земель.</w:t>
      </w:r>
    </w:p>
    <w:p w:rsidR="00096B8F" w:rsidRDefault="007A466B">
      <w:pPr>
        <w:pStyle w:val="a3"/>
        <w:jc w:val="both"/>
      </w:pPr>
      <w:r>
        <w:t>2. Об'єктом нормативної грошової оцінки земель є земельна ділянка, що використовується за функціональним призначенням незалежно від того, до якої категорії вона віднесена (крім земельної ділянки сільськогосподарського призначення).</w:t>
      </w:r>
    </w:p>
    <w:p w:rsidR="00096B8F" w:rsidRDefault="007A466B">
      <w:pPr>
        <w:pStyle w:val="a3"/>
        <w:jc w:val="both"/>
      </w:pPr>
      <w:r>
        <w:t>3. Нормативна грошова оцінка земель проводиться з урахуванням відомостей державних кадастрів (земельного, лісового, водного), документації із землеустрою, містобудівної документації на регіональному рівні (схеми планування території областей та районів).</w:t>
      </w:r>
    </w:p>
    <w:p w:rsidR="00096B8F" w:rsidRDefault="007A466B">
      <w:pPr>
        <w:pStyle w:val="a3"/>
        <w:jc w:val="both"/>
      </w:pPr>
      <w:r>
        <w:t>4. Нормативна грошова оцінка земельної ділянки (</w:t>
      </w:r>
      <w:proofErr w:type="spellStart"/>
      <w:r>
        <w:t>Цн</w:t>
      </w:r>
      <w:proofErr w:type="spellEnd"/>
      <w:r>
        <w:t>) визначається за формулою</w:t>
      </w:r>
    </w:p>
    <w:tbl>
      <w:tblPr>
        <w:tblW w:w="55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4"/>
        <w:gridCol w:w="766"/>
      </w:tblGrid>
      <w:tr w:rsidR="00096B8F">
        <w:trPr>
          <w:tblCellSpacing w:w="22" w:type="dxa"/>
          <w:jc w:val="center"/>
        </w:trPr>
        <w:tc>
          <w:tcPr>
            <w:tcW w:w="4350" w:type="pct"/>
            <w:hideMark/>
          </w:tcPr>
          <w:p w:rsidR="00096B8F" w:rsidRDefault="007A466B">
            <w:pPr>
              <w:pStyle w:val="a3"/>
              <w:jc w:val="right"/>
            </w:pPr>
            <w:proofErr w:type="spellStart"/>
            <w:r>
              <w:t>Цн</w:t>
            </w:r>
            <w:proofErr w:type="spellEnd"/>
            <w:r>
              <w:t xml:space="preserve"> = </w:t>
            </w:r>
            <w:proofErr w:type="spellStart"/>
            <w:r>
              <w:t>Пд</w:t>
            </w:r>
            <w:proofErr w:type="spellEnd"/>
            <w:r>
              <w:t xml:space="preserve"> х </w:t>
            </w:r>
            <w:proofErr w:type="spellStart"/>
            <w:r>
              <w:t>Рд</w:t>
            </w:r>
            <w:proofErr w:type="spellEnd"/>
            <w:r>
              <w:t xml:space="preserve"> х </w:t>
            </w:r>
            <w:proofErr w:type="spellStart"/>
            <w:r>
              <w:t>Ск</w:t>
            </w:r>
            <w:proofErr w:type="spellEnd"/>
            <w:r>
              <w:t xml:space="preserve"> х Км х </w:t>
            </w:r>
            <w:proofErr w:type="spellStart"/>
            <w:r>
              <w:t>Кв</w:t>
            </w:r>
            <w:proofErr w:type="spellEnd"/>
            <w:r>
              <w:t xml:space="preserve"> х </w:t>
            </w:r>
            <w:proofErr w:type="spellStart"/>
            <w:r>
              <w:t>Кмц</w:t>
            </w:r>
            <w:proofErr w:type="spellEnd"/>
            <w:r>
              <w:t xml:space="preserve"> х </w:t>
            </w:r>
            <w:proofErr w:type="spellStart"/>
            <w:r>
              <w:t>Кі</w:t>
            </w:r>
            <w:proofErr w:type="spellEnd"/>
          </w:p>
        </w:tc>
        <w:tc>
          <w:tcPr>
            <w:tcW w:w="650" w:type="pct"/>
            <w:hideMark/>
          </w:tcPr>
          <w:p w:rsidR="00096B8F" w:rsidRDefault="007A466B">
            <w:pPr>
              <w:pStyle w:val="a3"/>
            </w:pPr>
            <w:r>
              <w:t>,</w:t>
            </w:r>
          </w:p>
        </w:tc>
      </w:tr>
    </w:tbl>
    <w:p w:rsidR="00096B8F" w:rsidRDefault="007A466B">
      <w:pPr>
        <w:pStyle w:val="a3"/>
        <w:jc w:val="both"/>
      </w:pPr>
      <w:r>
        <w:br w:type="textWrapping" w:clear="all"/>
      </w:r>
    </w:p>
    <w:p w:rsidR="00096B8F" w:rsidRDefault="007A466B">
      <w:pPr>
        <w:pStyle w:val="a3"/>
        <w:jc w:val="both"/>
      </w:pPr>
      <w:r>
        <w:t xml:space="preserve">де </w:t>
      </w:r>
      <w:proofErr w:type="spellStart"/>
      <w:r>
        <w:t>Пд</w:t>
      </w:r>
      <w:proofErr w:type="spellEnd"/>
      <w:r>
        <w:t xml:space="preserve"> - площа земельної ділянки;</w:t>
      </w:r>
    </w:p>
    <w:p w:rsidR="00096B8F" w:rsidRDefault="007A466B">
      <w:pPr>
        <w:pStyle w:val="a3"/>
        <w:jc w:val="both"/>
      </w:pPr>
      <w:proofErr w:type="spellStart"/>
      <w:r>
        <w:t>Рд</w:t>
      </w:r>
      <w:proofErr w:type="spellEnd"/>
      <w:r>
        <w:t xml:space="preserve"> - рентний дохід для відповідної категорії земель (у гривнях на рік);</w:t>
      </w:r>
    </w:p>
    <w:p w:rsidR="00096B8F" w:rsidRDefault="007A466B">
      <w:pPr>
        <w:pStyle w:val="a3"/>
        <w:jc w:val="both"/>
      </w:pPr>
      <w:proofErr w:type="spellStart"/>
      <w:r>
        <w:t>Ск</w:t>
      </w:r>
      <w:proofErr w:type="spellEnd"/>
      <w:r>
        <w:t xml:space="preserve"> - строк капіталізації (у роках);</w:t>
      </w:r>
    </w:p>
    <w:p w:rsidR="00096B8F" w:rsidRDefault="007A466B">
      <w:pPr>
        <w:pStyle w:val="a3"/>
        <w:jc w:val="both"/>
      </w:pPr>
      <w:r>
        <w:t>Км - коефіцієнт, який враховує місце розташування земель;</w:t>
      </w:r>
    </w:p>
    <w:p w:rsidR="00096B8F" w:rsidRDefault="007A466B">
      <w:pPr>
        <w:pStyle w:val="a3"/>
        <w:jc w:val="both"/>
      </w:pPr>
      <w:proofErr w:type="spellStart"/>
      <w:r>
        <w:t>Кв</w:t>
      </w:r>
      <w:proofErr w:type="spellEnd"/>
      <w:r>
        <w:t xml:space="preserve"> - коефіцієнт, який враховує вид використання земельної ділянки і встановлюється залежно від складу угідь земельної ділянки відповідно до даних Державного земельного кадастру;</w:t>
      </w:r>
    </w:p>
    <w:p w:rsidR="00096B8F" w:rsidRDefault="007A466B">
      <w:pPr>
        <w:pStyle w:val="a3"/>
        <w:jc w:val="both"/>
      </w:pPr>
      <w:proofErr w:type="spellStart"/>
      <w:r>
        <w:t>Кмц</w:t>
      </w:r>
      <w:proofErr w:type="spellEnd"/>
      <w:r>
        <w:t xml:space="preserve"> - коефіцієнт, який враховує належність земельної ділянки до земель природоохоронного, оздоровчого, рекреаційного, історико-культурного призначення;</w:t>
      </w:r>
    </w:p>
    <w:p w:rsidR="00096B8F" w:rsidRDefault="007A466B">
      <w:pPr>
        <w:pStyle w:val="a3"/>
        <w:jc w:val="both"/>
      </w:pPr>
      <w:proofErr w:type="spellStart"/>
      <w:r>
        <w:t>Кі</w:t>
      </w:r>
      <w:proofErr w:type="spellEnd"/>
      <w:r>
        <w:t xml:space="preserve"> - коефіцієнт індексації нормативної грошової оцінки земель.</w:t>
      </w:r>
    </w:p>
    <w:p w:rsidR="00096B8F" w:rsidRDefault="007A466B">
      <w:pPr>
        <w:pStyle w:val="a3"/>
        <w:jc w:val="both"/>
      </w:pPr>
      <w:r>
        <w:t>5. Рентний дохід для відповідної категорії земель (</w:t>
      </w:r>
      <w:proofErr w:type="spellStart"/>
      <w:r>
        <w:t>Рд</w:t>
      </w:r>
      <w:proofErr w:type="spellEnd"/>
      <w:r>
        <w:t>), на які поділяються землі України за основним цільовим призначенням, визначається як дохід, який можна отримати в результаті використання земельної ділянки залежно від її якості та місця розташування. Нормативи рентного доходу для відповідних категорій земель визначаються Мінекономіки.</w:t>
      </w:r>
    </w:p>
    <w:p w:rsidR="00096B8F" w:rsidRDefault="007A466B">
      <w:pPr>
        <w:pStyle w:val="a3"/>
        <w:jc w:val="right"/>
      </w:pPr>
      <w:r>
        <w:t>(пункт 5 із змінами, внесеними згідно з постановою</w:t>
      </w:r>
      <w:r>
        <w:br/>
        <w:t> Кабінету Міністрів України від 06.11.2019 р. N 916)</w:t>
      </w:r>
    </w:p>
    <w:p w:rsidR="00096B8F" w:rsidRDefault="007A466B">
      <w:pPr>
        <w:pStyle w:val="a3"/>
        <w:jc w:val="both"/>
      </w:pPr>
      <w:r>
        <w:t>6. Строк капіталізації рентного доходу встановлюється:</w:t>
      </w:r>
    </w:p>
    <w:p w:rsidR="00096B8F" w:rsidRDefault="007A466B">
      <w:pPr>
        <w:pStyle w:val="a3"/>
        <w:jc w:val="both"/>
      </w:pPr>
      <w:r>
        <w:t>для всіх категорії земель (крім земель лісогосподарського призначення) - 33 роки;</w:t>
      </w:r>
    </w:p>
    <w:p w:rsidR="00096B8F" w:rsidRDefault="007A466B">
      <w:pPr>
        <w:pStyle w:val="a3"/>
        <w:jc w:val="both"/>
      </w:pPr>
      <w:r>
        <w:t>для земель лісогосподарського призначення - 50 років.</w:t>
      </w:r>
    </w:p>
    <w:p w:rsidR="00096B8F" w:rsidRDefault="007A466B">
      <w:pPr>
        <w:pStyle w:val="a3"/>
        <w:jc w:val="both"/>
      </w:pPr>
      <w:r>
        <w:t xml:space="preserve">7. Коефіцієнт, який враховує місце розташування земель (Км), визначається для кадастрового кварталу, межі якого відображаються на індексних кадастрових картах (планах) згідно з Порядком складення та затвердження індексних кадастрових карт (планів) і кадастрових планів земельних ділянок, вимогами до їх оформлення, затвердженим </w:t>
      </w:r>
      <w:r>
        <w:rPr>
          <w:color w:val="0000FF"/>
        </w:rPr>
        <w:t>постановою Кабінету Міністрів України від 8 грудня 2010 р. N 1117</w:t>
      </w:r>
      <w:r>
        <w:t xml:space="preserve"> (Офіційний вісник України, 2010 р., N 94, ст. 3347), за формулою</w:t>
      </w:r>
    </w:p>
    <w:tbl>
      <w:tblPr>
        <w:tblW w:w="225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7"/>
        <w:gridCol w:w="553"/>
      </w:tblGrid>
      <w:tr w:rsidR="00096B8F">
        <w:trPr>
          <w:tblCellSpacing w:w="22" w:type="dxa"/>
          <w:jc w:val="center"/>
        </w:trPr>
        <w:tc>
          <w:tcPr>
            <w:tcW w:w="3850" w:type="pct"/>
            <w:hideMark/>
          </w:tcPr>
          <w:p w:rsidR="00096B8F" w:rsidRDefault="007A466B">
            <w:pPr>
              <w:pStyle w:val="a3"/>
              <w:jc w:val="right"/>
            </w:pPr>
            <w:r>
              <w:t xml:space="preserve">Км = </w:t>
            </w:r>
            <w:proofErr w:type="spellStart"/>
            <w:r>
              <w:t>Кр</w:t>
            </w:r>
            <w:proofErr w:type="spellEnd"/>
            <w:r>
              <w:t xml:space="preserve"> х </w:t>
            </w:r>
            <w:proofErr w:type="spellStart"/>
            <w:r>
              <w:t>Кл</w:t>
            </w:r>
            <w:proofErr w:type="spellEnd"/>
          </w:p>
        </w:tc>
        <w:tc>
          <w:tcPr>
            <w:tcW w:w="1150" w:type="pct"/>
            <w:hideMark/>
          </w:tcPr>
          <w:p w:rsidR="00096B8F" w:rsidRDefault="007A466B">
            <w:pPr>
              <w:pStyle w:val="a3"/>
            </w:pPr>
            <w:r>
              <w:t>,</w:t>
            </w:r>
          </w:p>
        </w:tc>
      </w:tr>
    </w:tbl>
    <w:p w:rsidR="00096B8F" w:rsidRDefault="007A466B">
      <w:pPr>
        <w:pStyle w:val="a3"/>
        <w:jc w:val="both"/>
      </w:pPr>
      <w:r>
        <w:br w:type="textWrapping" w:clear="all"/>
      </w:r>
    </w:p>
    <w:p w:rsidR="00096B8F" w:rsidRDefault="007A466B">
      <w:pPr>
        <w:pStyle w:val="a3"/>
        <w:jc w:val="both"/>
      </w:pPr>
      <w:r>
        <w:t xml:space="preserve">де </w:t>
      </w:r>
      <w:proofErr w:type="spellStart"/>
      <w:r>
        <w:t>Кр</w:t>
      </w:r>
      <w:proofErr w:type="spellEnd"/>
      <w:r>
        <w:t xml:space="preserve"> - коефіцієнт, який враховує регіональні фактори місця розташування кадастрового кварталу (віддаленість від адміністративного центру району та найближчого населеного пункту, що має магістральні шляхи сполучення, входження до приміської зони великих міст тощо);</w:t>
      </w:r>
    </w:p>
    <w:p w:rsidR="00096B8F" w:rsidRDefault="007A466B">
      <w:pPr>
        <w:pStyle w:val="a3"/>
        <w:jc w:val="both"/>
      </w:pPr>
      <w:proofErr w:type="spellStart"/>
      <w:r>
        <w:t>Кл</w:t>
      </w:r>
      <w:proofErr w:type="spellEnd"/>
      <w:r>
        <w:t xml:space="preserve"> - коефіцієнт, який враховує локальні фактори місця розташування кадастрового кварталу за територіально-планувальними, інженерно-геологічними, історико-культурними, природно-ландшафтними, санітарно-гігієнічними та іншими умовами.</w:t>
      </w:r>
    </w:p>
    <w:p w:rsidR="00096B8F" w:rsidRDefault="007A466B">
      <w:pPr>
        <w:pStyle w:val="a3"/>
        <w:jc w:val="both"/>
      </w:pPr>
      <w:r>
        <w:t xml:space="preserve">8. За результатами проведення нормативної грошової оцінки земель в межах району складається технічна документація з нормативної грошової оцінки земель району. Результати нормативної грошової оцінки окремої земельної ділянки оформляються і видаються територіальним органом </w:t>
      </w:r>
      <w:proofErr w:type="spellStart"/>
      <w:r>
        <w:t>Держгеокадастру</w:t>
      </w:r>
      <w:proofErr w:type="spellEnd"/>
      <w:r>
        <w:t xml:space="preserve"> як витяг з технічної документації з нормативної грошової оцінки земель району протягом трьох робочих днів з дати надходження відповідної заяви.</w:t>
      </w:r>
    </w:p>
    <w:p w:rsidR="00096B8F" w:rsidRDefault="007A466B">
      <w:pPr>
        <w:pStyle w:val="a3"/>
        <w:jc w:val="right"/>
      </w:pPr>
      <w:r>
        <w:t>(абзац перший пункту 8 із змінами, внесеними згідно з постановами</w:t>
      </w:r>
      <w:r>
        <w:br/>
        <w:t> Кабінету Міністрів України від 23.05.2012 р. N 492,</w:t>
      </w:r>
      <w:r>
        <w:br/>
        <w:t>від 25.03.2015 р. N 268,</w:t>
      </w:r>
      <w:r>
        <w:br/>
        <w:t>від 05.06.2019 р. N 477)</w:t>
      </w:r>
    </w:p>
    <w:p w:rsidR="00096B8F" w:rsidRDefault="007A466B">
      <w:pPr>
        <w:pStyle w:val="a3"/>
        <w:jc w:val="both"/>
      </w:pPr>
      <w:r>
        <w:t>У разі подання заяви в електронній формі витяг з технічної документації про нормативну грошову оцінку земельної ділянки або мотивована відмова у наданні такого витягу видаються в електронній формі технічними засобами телекомунікацій з накладенням кваліфікованого електронного підпису, а за бажанням заявника можуть також надаватися у паперовому вигляді.</w:t>
      </w:r>
    </w:p>
    <w:p w:rsidR="00096B8F" w:rsidRDefault="007A466B">
      <w:pPr>
        <w:pStyle w:val="a3"/>
        <w:jc w:val="right"/>
      </w:pPr>
      <w:r>
        <w:t>(пункт 8 доповнено абзацом згідно з постановою</w:t>
      </w:r>
      <w:r>
        <w:br/>
        <w:t> Кабінету Міністрів України від 05.06.2019 р. N 477)</w:t>
      </w:r>
    </w:p>
    <w:p w:rsidR="00096B8F" w:rsidRDefault="007A466B">
      <w:pPr>
        <w:pStyle w:val="a3"/>
        <w:jc w:val="center"/>
      </w:pPr>
      <w:r>
        <w:t>____________</w:t>
      </w:r>
    </w:p>
    <w:sectPr w:rsidR="00096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53A5"/>
    <w:rsid w:val="000753A5"/>
    <w:rsid w:val="00096B8F"/>
    <w:rsid w:val="007A466B"/>
    <w:rsid w:val="00A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3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53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3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53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2019-12-05T08:47:00Z</dcterms:created>
  <dcterms:modified xsi:type="dcterms:W3CDTF">2019-12-05T08:47:00Z</dcterms:modified>
</cp:coreProperties>
</file>